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C29" w:rsidRDefault="00997CCC">
      <w:r>
        <w:rPr>
          <w:noProof/>
        </w:rPr>
        <w:drawing>
          <wp:inline distT="0" distB="0" distL="0" distR="0">
            <wp:extent cx="1485900" cy="628650"/>
            <wp:effectExtent l="19050" t="0" r="0" b="0"/>
            <wp:docPr id="1" name="Image 1" descr="D:\RENOVATION-BTS\13novembre2014\logoCB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RENOVATION-BTS\13novembre2014\logoCB2C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C29" w:rsidRDefault="00CE7C29"/>
    <w:p w:rsidR="00CE7C29" w:rsidRDefault="00CE7C29"/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601C6F" w:rsidTr="00601C6F">
        <w:trPr>
          <w:trHeight w:val="680"/>
        </w:trPr>
        <w:tc>
          <w:tcPr>
            <w:tcW w:w="4606" w:type="dxa"/>
            <w:vAlign w:val="center"/>
          </w:tcPr>
          <w:p w:rsidR="00601C6F" w:rsidRDefault="00601C6F" w:rsidP="00601C6F">
            <w:r>
              <w:t>Jacques VIAL</w:t>
            </w:r>
          </w:p>
          <w:p w:rsidR="00601C6F" w:rsidRPr="00601C6F" w:rsidRDefault="00601C6F" w:rsidP="00601C6F">
            <w:pPr>
              <w:rPr>
                <w:b/>
              </w:rPr>
            </w:pPr>
            <w:r w:rsidRPr="00601C6F">
              <w:rPr>
                <w:b/>
              </w:rPr>
              <w:t>Directeur administratif</w:t>
            </w:r>
          </w:p>
        </w:tc>
        <w:tc>
          <w:tcPr>
            <w:tcW w:w="4606" w:type="dxa"/>
            <w:vMerge w:val="restart"/>
            <w:vAlign w:val="center"/>
          </w:tcPr>
          <w:p w:rsidR="00601C6F" w:rsidRPr="00601C6F" w:rsidRDefault="00601C6F" w:rsidP="00601C6F">
            <w:pPr>
              <w:jc w:val="center"/>
              <w:rPr>
                <w:b/>
              </w:rPr>
            </w:pPr>
            <w:r w:rsidRPr="00601C6F">
              <w:rPr>
                <w:b/>
              </w:rPr>
              <w:t>Service comptabilité</w:t>
            </w:r>
          </w:p>
        </w:tc>
      </w:tr>
      <w:tr w:rsidR="00601C6F" w:rsidTr="00601C6F">
        <w:trPr>
          <w:trHeight w:val="567"/>
        </w:trPr>
        <w:tc>
          <w:tcPr>
            <w:tcW w:w="4606" w:type="dxa"/>
            <w:vAlign w:val="center"/>
          </w:tcPr>
          <w:p w:rsidR="00601C6F" w:rsidRDefault="00601C6F" w:rsidP="00601C6F">
            <w:r>
              <w:t>Date : 01 avril 2014</w:t>
            </w:r>
          </w:p>
        </w:tc>
        <w:tc>
          <w:tcPr>
            <w:tcW w:w="4606" w:type="dxa"/>
            <w:vMerge/>
          </w:tcPr>
          <w:p w:rsidR="00601C6F" w:rsidRDefault="00601C6F"/>
        </w:tc>
      </w:tr>
      <w:tr w:rsidR="00601C6F" w:rsidTr="00601C6F">
        <w:trPr>
          <w:trHeight w:val="567"/>
        </w:trPr>
        <w:tc>
          <w:tcPr>
            <w:tcW w:w="4606" w:type="dxa"/>
            <w:vAlign w:val="center"/>
          </w:tcPr>
          <w:p w:rsidR="00601C6F" w:rsidRDefault="00601C6F" w:rsidP="00601C6F">
            <w:r>
              <w:t>Objet : Sécurisation poste client</w:t>
            </w:r>
            <w:r w:rsidR="00C50265">
              <w:t xml:space="preserve"> – intégration de la gestion du risque dans le </w:t>
            </w:r>
            <w:proofErr w:type="spellStart"/>
            <w:r w:rsidR="00C50265">
              <w:t>PGI</w:t>
            </w:r>
            <w:proofErr w:type="spellEnd"/>
          </w:p>
        </w:tc>
        <w:tc>
          <w:tcPr>
            <w:tcW w:w="4606" w:type="dxa"/>
            <w:vMerge/>
          </w:tcPr>
          <w:p w:rsidR="00601C6F" w:rsidRDefault="00601C6F"/>
        </w:tc>
      </w:tr>
      <w:tr w:rsidR="00601C6F" w:rsidTr="007F2AC8">
        <w:trPr>
          <w:trHeight w:val="567"/>
        </w:trPr>
        <w:tc>
          <w:tcPr>
            <w:tcW w:w="9212" w:type="dxa"/>
            <w:gridSpan w:val="2"/>
            <w:vAlign w:val="center"/>
          </w:tcPr>
          <w:p w:rsidR="00601C6F" w:rsidRPr="00601C6F" w:rsidRDefault="00601C6F" w:rsidP="00C50265">
            <w:pPr>
              <w:jc w:val="center"/>
              <w:rPr>
                <w:b/>
                <w:sz w:val="28"/>
                <w:szCs w:val="28"/>
              </w:rPr>
            </w:pPr>
            <w:r w:rsidRPr="00601C6F">
              <w:rPr>
                <w:b/>
                <w:sz w:val="28"/>
                <w:szCs w:val="28"/>
              </w:rPr>
              <w:t>Note interne</w:t>
            </w:r>
            <w:r>
              <w:rPr>
                <w:b/>
                <w:sz w:val="28"/>
                <w:szCs w:val="28"/>
              </w:rPr>
              <w:t xml:space="preserve"> n° 04-0</w:t>
            </w:r>
            <w:r w:rsidR="00C50265">
              <w:rPr>
                <w:b/>
                <w:sz w:val="28"/>
                <w:szCs w:val="28"/>
              </w:rPr>
              <w:t>2</w:t>
            </w:r>
          </w:p>
        </w:tc>
      </w:tr>
    </w:tbl>
    <w:p w:rsidR="00CE7C29" w:rsidRDefault="00CE7C29"/>
    <w:p w:rsidR="00601C6F" w:rsidRDefault="00601C6F"/>
    <w:p w:rsidR="00601C6F" w:rsidRDefault="00601C6F" w:rsidP="00D965BC">
      <w:pPr>
        <w:jc w:val="both"/>
      </w:pPr>
      <w:r>
        <w:t xml:space="preserve">Pour sécuriser le poste client, et suite aux propositions émises concernant </w:t>
      </w:r>
      <w:r w:rsidR="00C50265">
        <w:t xml:space="preserve">la politique de crédit vis-à-vis des clients et le suivi de leurs paiements, vous devrez désormais appliquer les consignes du nouveau livre de procédure (voir annexe), dont voici deux extraits : </w:t>
      </w:r>
    </w:p>
    <w:p w:rsidR="00601C6F" w:rsidRDefault="00601C6F" w:rsidP="00D965BC">
      <w:pPr>
        <w:jc w:val="both"/>
      </w:pPr>
    </w:p>
    <w:p w:rsidR="00601C6F" w:rsidRDefault="009709CB" w:rsidP="00D965BC">
      <w:pPr>
        <w:pStyle w:val="Paragraphedeliste"/>
        <w:numPr>
          <w:ilvl w:val="0"/>
          <w:numId w:val="2"/>
        </w:numPr>
        <w:jc w:val="both"/>
        <w:rPr>
          <w:b/>
        </w:rPr>
      </w:pPr>
      <w:r>
        <w:rPr>
          <w:b/>
        </w:rPr>
        <w:t>Risque client (complète la note 04-01 sur le l</w:t>
      </w:r>
      <w:r w:rsidR="00601C6F" w:rsidRPr="00601C6F">
        <w:rPr>
          <w:b/>
        </w:rPr>
        <w:t>ignes de crédit / encours client</w:t>
      </w:r>
      <w:r>
        <w:rPr>
          <w:b/>
        </w:rPr>
        <w:t>)</w:t>
      </w:r>
    </w:p>
    <w:p w:rsidR="00601C6F" w:rsidRDefault="00601C6F" w:rsidP="00D965BC">
      <w:pPr>
        <w:jc w:val="both"/>
        <w:rPr>
          <w:b/>
        </w:rPr>
      </w:pPr>
    </w:p>
    <w:p w:rsidR="00D965BC" w:rsidRDefault="001F6716" w:rsidP="00D965BC">
      <w:pPr>
        <w:pStyle w:val="Paragraphedeliste"/>
        <w:numPr>
          <w:ilvl w:val="0"/>
          <w:numId w:val="3"/>
        </w:numPr>
        <w:jc w:val="both"/>
      </w:pPr>
      <w:r>
        <w:t>Prévenir le directeur commercial par mail lors de la détection des clients en retard de paiement (balance âgée) ou en litiges (dossier client).</w:t>
      </w:r>
    </w:p>
    <w:p w:rsidR="001F6716" w:rsidRDefault="001F6716" w:rsidP="00D965BC">
      <w:pPr>
        <w:pStyle w:val="Paragraphedeliste"/>
        <w:numPr>
          <w:ilvl w:val="0"/>
          <w:numId w:val="3"/>
        </w:numPr>
        <w:jc w:val="both"/>
      </w:pPr>
      <w:r>
        <w:t xml:space="preserve">C'est lui qui sera chargé –après analyse du cas du client- de la mise en place du niveau de risque dans les fiches clients correspondantes </w:t>
      </w:r>
    </w:p>
    <w:p w:rsidR="001F6716" w:rsidRDefault="001F6716" w:rsidP="001F6716">
      <w:pPr>
        <w:pStyle w:val="Paragraphedeliste"/>
        <w:jc w:val="both"/>
      </w:pPr>
      <w:r w:rsidRPr="001F6716">
        <w:rPr>
          <w:i/>
        </w:rPr>
        <w:t>(Cf. fiche de procédure RC2)</w:t>
      </w:r>
    </w:p>
    <w:p w:rsidR="001F6716" w:rsidRDefault="001F6716" w:rsidP="001F6716">
      <w:pPr>
        <w:pStyle w:val="Paragraphedeliste"/>
        <w:jc w:val="both"/>
      </w:pPr>
    </w:p>
    <w:p w:rsidR="00601C6F" w:rsidRDefault="00601C6F" w:rsidP="00601C6F"/>
    <w:p w:rsidR="00601C6F" w:rsidRDefault="001F6716" w:rsidP="00601C6F">
      <w:pPr>
        <w:pStyle w:val="Paragraphedeliste"/>
        <w:numPr>
          <w:ilvl w:val="0"/>
          <w:numId w:val="2"/>
        </w:numPr>
        <w:rPr>
          <w:b/>
        </w:rPr>
      </w:pPr>
      <w:r>
        <w:rPr>
          <w:b/>
        </w:rPr>
        <w:t>Modalités et procédure de relance client :</w:t>
      </w:r>
    </w:p>
    <w:p w:rsidR="00601C6F" w:rsidRDefault="00601C6F"/>
    <w:p w:rsidR="001F6716" w:rsidRDefault="001F6716" w:rsidP="001F6716">
      <w:pPr>
        <w:pStyle w:val="Paragraphedeliste"/>
        <w:jc w:val="both"/>
      </w:pPr>
      <w:r w:rsidRPr="001F6716">
        <w:t>Une nouvelle procédure de relance des clients en retard est mise en place à compter de ce jour : voir page suivante</w:t>
      </w:r>
      <w:r>
        <w:t>.</w:t>
      </w:r>
    </w:p>
    <w:p w:rsidR="001F6716" w:rsidRPr="001F6716" w:rsidRDefault="001F6716" w:rsidP="001F6716">
      <w:pPr>
        <w:pStyle w:val="Paragraphedeliste"/>
        <w:numPr>
          <w:ilvl w:val="0"/>
          <w:numId w:val="3"/>
        </w:numPr>
        <w:jc w:val="both"/>
      </w:pPr>
      <w:r>
        <w:t xml:space="preserve">Mettre en place cette procédure dans notre </w:t>
      </w:r>
      <w:proofErr w:type="spellStart"/>
      <w:r>
        <w:t>PGI</w:t>
      </w:r>
      <w:proofErr w:type="spellEnd"/>
      <w:r>
        <w:t>, et créer les modèles de courrier correspondants.</w:t>
      </w:r>
    </w:p>
    <w:p w:rsidR="001F6716" w:rsidRDefault="001F6716">
      <w:pPr>
        <w:spacing w:after="200" w:line="276" w:lineRule="auto"/>
        <w:rPr>
          <w:i/>
        </w:rPr>
      </w:pPr>
      <w:r>
        <w:rPr>
          <w:i/>
        </w:rPr>
        <w:br w:type="page"/>
      </w:r>
    </w:p>
    <w:p w:rsidR="001F6716" w:rsidRDefault="001F6716" w:rsidP="00D965BC">
      <w:pPr>
        <w:ind w:left="426"/>
        <w:jc w:val="both"/>
        <w:rPr>
          <w:i/>
        </w:rPr>
      </w:pPr>
    </w:p>
    <w:p w:rsidR="001F6716" w:rsidRPr="001F6716" w:rsidRDefault="001F6716" w:rsidP="00D965BC">
      <w:pPr>
        <w:ind w:left="426"/>
        <w:jc w:val="both"/>
        <w:rPr>
          <w:i/>
        </w:rPr>
      </w:pPr>
      <w:r w:rsidRPr="001F6716">
        <w:rPr>
          <w:i/>
        </w:rPr>
        <w:t xml:space="preserve">Extrait du livre des procédures : </w:t>
      </w:r>
    </w:p>
    <w:p w:rsidR="001F6716" w:rsidRPr="001F6716" w:rsidRDefault="001F6716" w:rsidP="00D965BC">
      <w:pPr>
        <w:ind w:left="426"/>
        <w:jc w:val="both"/>
      </w:pPr>
    </w:p>
    <w:p w:rsidR="001F6716" w:rsidRPr="00AB13FC" w:rsidRDefault="001F6716" w:rsidP="001F67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67"/>
        <w:rPr>
          <w:b/>
          <w:color w:val="1F497D" w:themeColor="text2"/>
        </w:rPr>
      </w:pPr>
      <w:r>
        <w:rPr>
          <w:b/>
          <w:color w:val="1F497D" w:themeColor="text2"/>
        </w:rPr>
        <w:t xml:space="preserve">Fiche CPT6 - Comptabilité clients </w:t>
      </w:r>
      <w:r w:rsidRPr="00AB13FC">
        <w:rPr>
          <w:b/>
          <w:color w:val="1F497D" w:themeColor="text2"/>
        </w:rPr>
        <w:t>: traitement des retards</w:t>
      </w:r>
    </w:p>
    <w:p w:rsidR="001F6716" w:rsidRDefault="001F6716" w:rsidP="001F67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67"/>
      </w:pPr>
    </w:p>
    <w:p w:rsidR="001F6716" w:rsidRDefault="001F6716" w:rsidP="001F67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67"/>
      </w:pPr>
      <w:r>
        <w:t xml:space="preserve">Pour les clients en retard, 3 niveaux de relance ont été créés : </w:t>
      </w:r>
    </w:p>
    <w:p w:rsidR="001F6716" w:rsidRDefault="001F6716" w:rsidP="001F67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67"/>
      </w:pPr>
      <w:r>
        <w:t>Selon le retard :</w:t>
      </w:r>
    </w:p>
    <w:p w:rsidR="001F6716" w:rsidRDefault="001F6716" w:rsidP="001F67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67"/>
      </w:pPr>
      <w:r>
        <w:tab/>
        <w:t>- de 15 à 30 jours : lettre de relance de type 1 (simple avertissement du retard et rappel des montants) ;</w:t>
      </w:r>
    </w:p>
    <w:p w:rsidR="001F6716" w:rsidRDefault="001F6716" w:rsidP="001F67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67"/>
      </w:pPr>
      <w:r>
        <w:tab/>
        <w:t>- de 30 à 45 jours : lettre de type 2;</w:t>
      </w:r>
    </w:p>
    <w:p w:rsidR="001F6716" w:rsidRDefault="001F6716" w:rsidP="001F67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67"/>
      </w:pPr>
      <w:r>
        <w:tab/>
        <w:t>- plus de 45 jours : lettre de type 3 : (menaces de procédure judiciaire).</w:t>
      </w:r>
    </w:p>
    <w:p w:rsidR="001F6716" w:rsidRDefault="001F6716" w:rsidP="001F67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67"/>
      </w:pPr>
    </w:p>
    <w:p w:rsidR="001F6716" w:rsidRPr="00336767" w:rsidRDefault="001F6716" w:rsidP="001F67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67"/>
        <w:rPr>
          <w:i/>
        </w:rPr>
      </w:pPr>
      <w:r>
        <w:rPr>
          <w:i/>
        </w:rPr>
        <w:t>Chaque quinzaine</w:t>
      </w:r>
    </w:p>
    <w:p w:rsidR="001F6716" w:rsidRDefault="001F6716" w:rsidP="001F67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67"/>
      </w:pPr>
      <w:r>
        <w:t>Lettrer les comptes clients,</w:t>
      </w:r>
    </w:p>
    <w:p w:rsidR="001F6716" w:rsidRDefault="001F6716" w:rsidP="001F67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67"/>
      </w:pPr>
      <w:r>
        <w:t>Éditer une balance âgée pour identifier les retards (ou une balance ventilée des retards),</w:t>
      </w:r>
    </w:p>
    <w:p w:rsidR="001F6716" w:rsidRDefault="001F6716" w:rsidP="001F67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67"/>
      </w:pPr>
      <w:r>
        <w:t>Relever les comptes clients concernés,</w:t>
      </w:r>
    </w:p>
    <w:p w:rsidR="001F6716" w:rsidRDefault="001F6716" w:rsidP="001F67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 w:right="567"/>
      </w:pPr>
      <w:r>
        <w:t>Éditer les relances.</w:t>
      </w:r>
    </w:p>
    <w:p w:rsidR="00D965BC" w:rsidRPr="001F6716" w:rsidRDefault="00C761BC" w:rsidP="00D965BC">
      <w:pPr>
        <w:ind w:left="426"/>
        <w:jc w:val="both"/>
        <w:rPr>
          <w:i/>
        </w:rPr>
      </w:pPr>
      <w:r w:rsidRPr="001F6716">
        <w:rPr>
          <w:i/>
        </w:rPr>
        <w:t>.</w:t>
      </w:r>
    </w:p>
    <w:p w:rsidR="00D965BC" w:rsidRDefault="00D965BC"/>
    <w:sectPr w:rsidR="00D965BC" w:rsidSect="00D965BC">
      <w:footerReference w:type="default" r:id="rId8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15F" w:rsidRDefault="00FB115F" w:rsidP="00997CCC">
      <w:r>
        <w:separator/>
      </w:r>
    </w:p>
  </w:endnote>
  <w:endnote w:type="continuationSeparator" w:id="0">
    <w:p w:rsidR="00FB115F" w:rsidRDefault="00FB115F" w:rsidP="00997C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CCC" w:rsidRPr="00997CCC" w:rsidRDefault="00997CCC" w:rsidP="00997CCC">
    <w:pPr>
      <w:pStyle w:val="Pieddepage"/>
      <w:jc w:val="center"/>
      <w:rPr>
        <w:rFonts w:asciiTheme="minorHAnsi" w:hAnsiTheme="minorHAnsi"/>
        <w:sz w:val="20"/>
        <w:szCs w:val="20"/>
      </w:rPr>
    </w:pPr>
    <w:r w:rsidRPr="00997CCC">
      <w:rPr>
        <w:rFonts w:asciiTheme="minorHAnsi" w:hAnsiTheme="minorHAnsi"/>
        <w:sz w:val="20"/>
        <w:szCs w:val="20"/>
      </w:rPr>
      <w:sym w:font="Wingdings" w:char="F02A"/>
    </w:r>
    <w:r w:rsidRPr="00997CCC">
      <w:rPr>
        <w:rFonts w:asciiTheme="minorHAnsi" w:hAnsiTheme="minorHAnsi"/>
        <w:sz w:val="20"/>
        <w:szCs w:val="20"/>
      </w:rPr>
      <w:t xml:space="preserve">235, rue Sadi Carnot 02120 Guise  - </w:t>
    </w:r>
    <w:r w:rsidRPr="00997CCC">
      <w:rPr>
        <w:rFonts w:asciiTheme="minorHAnsi" w:hAnsiTheme="minorHAnsi"/>
        <w:sz w:val="20"/>
        <w:szCs w:val="20"/>
      </w:rPr>
      <w:sym w:font="Wingdings" w:char="F028"/>
    </w:r>
    <w:r w:rsidRPr="00997CCC">
      <w:rPr>
        <w:rFonts w:asciiTheme="minorHAnsi" w:hAnsiTheme="minorHAnsi"/>
        <w:sz w:val="20"/>
        <w:szCs w:val="20"/>
      </w:rPr>
      <w:t xml:space="preserve"> 03 23 05 70 00 – </w:t>
    </w:r>
    <w:r w:rsidRPr="00997CCC">
      <w:rPr>
        <w:rFonts w:asciiTheme="minorHAnsi" w:hAnsiTheme="minorHAnsi" w:cs="Arial"/>
        <w:b/>
        <w:sz w:val="20"/>
        <w:szCs w:val="20"/>
      </w:rPr>
      <w:t>@</w:t>
    </w:r>
    <w:r w:rsidRPr="00997CCC">
      <w:rPr>
        <w:rFonts w:asciiTheme="minorHAnsi" w:hAnsiTheme="minorHAnsi"/>
        <w:sz w:val="20"/>
        <w:szCs w:val="20"/>
      </w:rPr>
      <w:t xml:space="preserve"> com@CB2C.fr</w:t>
    </w:r>
  </w:p>
  <w:p w:rsidR="00997CCC" w:rsidRDefault="00997CC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15F" w:rsidRDefault="00FB115F" w:rsidP="00997CCC">
      <w:r>
        <w:separator/>
      </w:r>
    </w:p>
  </w:footnote>
  <w:footnote w:type="continuationSeparator" w:id="0">
    <w:p w:rsidR="00FB115F" w:rsidRDefault="00FB115F" w:rsidP="00997C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F0EB7"/>
    <w:multiLevelType w:val="hybridMultilevel"/>
    <w:tmpl w:val="611E3D64"/>
    <w:lvl w:ilvl="0" w:tplc="ED2094E4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263DDD"/>
    <w:multiLevelType w:val="hybridMultilevel"/>
    <w:tmpl w:val="3438D8B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A8433E"/>
    <w:multiLevelType w:val="singleLevel"/>
    <w:tmpl w:val="CAB07A1E"/>
    <w:lvl w:ilvl="0">
      <w:start w:val="3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rawingGridHorizontalSpacing w:val="11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997CCC"/>
    <w:rsid w:val="001F6716"/>
    <w:rsid w:val="00601C6F"/>
    <w:rsid w:val="0091496D"/>
    <w:rsid w:val="009709CB"/>
    <w:rsid w:val="00997CCC"/>
    <w:rsid w:val="00C50265"/>
    <w:rsid w:val="00C761BC"/>
    <w:rsid w:val="00CE7C29"/>
    <w:rsid w:val="00D107B4"/>
    <w:rsid w:val="00D965BC"/>
    <w:rsid w:val="00DD3158"/>
    <w:rsid w:val="00F0347C"/>
    <w:rsid w:val="00FB1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C29"/>
    <w:pPr>
      <w:spacing w:after="0" w:line="240" w:lineRule="auto"/>
    </w:pPr>
    <w:rPr>
      <w:rFonts w:ascii="Comic Sans MS" w:hAnsi="Comic Sans MS" w:cs="Comic Sans M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link w:val="Corpsdetexte2Car"/>
    <w:uiPriority w:val="99"/>
    <w:rsid w:val="00CE7C29"/>
    <w:pPr>
      <w:ind w:left="1134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CE7C29"/>
    <w:rPr>
      <w:rFonts w:ascii="Comic Sans MS" w:hAnsi="Comic Sans MS" w:cs="Comic Sans MS"/>
    </w:rPr>
  </w:style>
  <w:style w:type="paragraph" w:styleId="Retraitcorpsdetexte2">
    <w:name w:val="Body Text Indent 2"/>
    <w:basedOn w:val="Normal"/>
    <w:link w:val="Retraitcorpsdetexte2Car"/>
    <w:uiPriority w:val="99"/>
    <w:rsid w:val="00CE7C29"/>
    <w:pPr>
      <w:ind w:left="1134"/>
    </w:pPr>
    <w:rPr>
      <w:i/>
      <w:iCs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CE7C29"/>
    <w:rPr>
      <w:rFonts w:ascii="Comic Sans MS" w:hAnsi="Comic Sans MS" w:cs="Comic Sans MS"/>
    </w:rPr>
  </w:style>
  <w:style w:type="paragraph" w:styleId="En-tte">
    <w:name w:val="header"/>
    <w:basedOn w:val="Normal"/>
    <w:link w:val="En-tteCar"/>
    <w:uiPriority w:val="99"/>
    <w:semiHidden/>
    <w:unhideWhenUsed/>
    <w:rsid w:val="00997CC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997CCC"/>
    <w:rPr>
      <w:rFonts w:ascii="Comic Sans MS" w:hAnsi="Comic Sans MS" w:cs="Comic Sans MS"/>
    </w:rPr>
  </w:style>
  <w:style w:type="paragraph" w:styleId="Pieddepage">
    <w:name w:val="footer"/>
    <w:basedOn w:val="Normal"/>
    <w:link w:val="PieddepageCar"/>
    <w:uiPriority w:val="99"/>
    <w:unhideWhenUsed/>
    <w:rsid w:val="00997CC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97CCC"/>
    <w:rPr>
      <w:rFonts w:ascii="Comic Sans MS" w:hAnsi="Comic Sans MS" w:cs="Comic Sans M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01C6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1C6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01C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601C6F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1F6716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266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Maître</vt:lpstr>
    </vt:vector>
  </TitlesOfParts>
  <Company>HP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Maître</dc:title>
  <dc:creator>Christine MARCHAL - VINC</dc:creator>
  <cp:lastModifiedBy>Daniel Perrin Toinin</cp:lastModifiedBy>
  <cp:revision>3</cp:revision>
  <dcterms:created xsi:type="dcterms:W3CDTF">2014-11-22T09:23:00Z</dcterms:created>
  <dcterms:modified xsi:type="dcterms:W3CDTF">2014-11-22T09:44:00Z</dcterms:modified>
</cp:coreProperties>
</file>